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B4B" w:rsidRPr="0027145C" w:rsidRDefault="007C0B4B" w:rsidP="007C0B4B">
      <w:pPr>
        <w:jc w:val="right"/>
        <w:rPr>
          <w:i/>
          <w:sz w:val="22"/>
          <w:szCs w:val="22"/>
        </w:rPr>
      </w:pPr>
      <w:bookmarkStart w:id="0" w:name="_GoBack"/>
      <w:bookmarkEnd w:id="0"/>
      <w:r w:rsidRPr="0027145C">
        <w:rPr>
          <w:i/>
          <w:sz w:val="22"/>
          <w:szCs w:val="22"/>
        </w:rPr>
        <w:t xml:space="preserve">Приложение № </w:t>
      </w:r>
      <w:r w:rsidR="003C507E">
        <w:rPr>
          <w:i/>
          <w:sz w:val="22"/>
          <w:szCs w:val="22"/>
        </w:rPr>
        <w:t>9</w:t>
      </w:r>
      <w:r w:rsidRPr="0027145C">
        <w:rPr>
          <w:i/>
          <w:sz w:val="22"/>
          <w:szCs w:val="22"/>
        </w:rPr>
        <w:t xml:space="preserve">  </w:t>
      </w:r>
    </w:p>
    <w:p w:rsidR="007C0B4B" w:rsidRPr="0027145C" w:rsidRDefault="007C0B4B" w:rsidP="007C0B4B">
      <w:pPr>
        <w:spacing w:before="40"/>
        <w:jc w:val="right"/>
        <w:rPr>
          <w:i/>
          <w:sz w:val="22"/>
          <w:szCs w:val="22"/>
        </w:rPr>
      </w:pPr>
      <w:r w:rsidRPr="0027145C">
        <w:rPr>
          <w:i/>
          <w:sz w:val="22"/>
          <w:szCs w:val="22"/>
        </w:rPr>
        <w:t>к Регламенту брокерского</w:t>
      </w:r>
    </w:p>
    <w:p w:rsidR="007C0B4B" w:rsidRPr="0027145C" w:rsidRDefault="007C0B4B" w:rsidP="007C0B4B">
      <w:pPr>
        <w:jc w:val="right"/>
        <w:rPr>
          <w:i/>
          <w:sz w:val="22"/>
          <w:szCs w:val="22"/>
        </w:rPr>
      </w:pPr>
      <w:r w:rsidRPr="0027145C">
        <w:rPr>
          <w:i/>
          <w:sz w:val="22"/>
          <w:szCs w:val="22"/>
        </w:rPr>
        <w:t xml:space="preserve"> обслуживания на рынке ценных бумаг</w:t>
      </w:r>
    </w:p>
    <w:p w:rsidR="007C0B4B" w:rsidRPr="0027145C" w:rsidRDefault="004D4B2B" w:rsidP="007C0B4B">
      <w:pPr>
        <w:jc w:val="right"/>
        <w:rPr>
          <w:i/>
          <w:sz w:val="22"/>
          <w:szCs w:val="22"/>
        </w:rPr>
      </w:pPr>
      <w:r>
        <w:rPr>
          <w:i/>
          <w:sz w:val="22"/>
          <w:szCs w:val="22"/>
        </w:rPr>
        <w:t>Акционерного общества</w:t>
      </w:r>
      <w:r w:rsidR="007C0B4B" w:rsidRPr="0027145C">
        <w:rPr>
          <w:i/>
          <w:sz w:val="22"/>
          <w:szCs w:val="22"/>
        </w:rPr>
        <w:t xml:space="preserve"> «</w:t>
      </w:r>
      <w:r w:rsidR="00C466BF">
        <w:rPr>
          <w:i/>
          <w:sz w:val="22"/>
          <w:szCs w:val="22"/>
        </w:rPr>
        <w:t>Банк</w:t>
      </w:r>
      <w:r w:rsidR="007C0B4B" w:rsidRPr="0027145C">
        <w:rPr>
          <w:i/>
          <w:sz w:val="22"/>
          <w:szCs w:val="22"/>
        </w:rPr>
        <w:t xml:space="preserve"> Русский Стандарт»</w:t>
      </w:r>
    </w:p>
    <w:p w:rsidR="007C0B4B" w:rsidRDefault="007C0B4B" w:rsidP="007C0B4B">
      <w:pPr>
        <w:ind w:left="5640"/>
        <w:rPr>
          <w:rFonts w:eastAsia="Times New Roman"/>
          <w:sz w:val="22"/>
          <w:szCs w:val="22"/>
        </w:rPr>
      </w:pPr>
    </w:p>
    <w:p w:rsidR="005541E2" w:rsidRPr="0027145C" w:rsidRDefault="005541E2" w:rsidP="005541E2">
      <w:pPr>
        <w:jc w:val="both"/>
        <w:rPr>
          <w:rFonts w:eastAsia="Times New Roman"/>
          <w:b/>
          <w:sz w:val="22"/>
          <w:szCs w:val="22"/>
        </w:rPr>
      </w:pPr>
      <w:r w:rsidRPr="0027145C">
        <w:rPr>
          <w:rFonts w:eastAsia="Times New Roman"/>
          <w:b/>
          <w:sz w:val="22"/>
          <w:szCs w:val="22"/>
        </w:rPr>
        <w:t>ФОРМА</w:t>
      </w:r>
    </w:p>
    <w:p w:rsidR="005541E2" w:rsidRPr="0027145C" w:rsidRDefault="005541E2" w:rsidP="007C0B4B">
      <w:pPr>
        <w:ind w:left="5640"/>
        <w:rPr>
          <w:rFonts w:eastAsia="Times New Roman"/>
          <w:sz w:val="22"/>
          <w:szCs w:val="22"/>
        </w:rPr>
      </w:pPr>
    </w:p>
    <w:tbl>
      <w:tblPr>
        <w:tblW w:w="10080" w:type="dxa"/>
        <w:tblInd w:w="108" w:type="dxa"/>
        <w:shd w:val="clear" w:color="auto" w:fill="CCCCCC"/>
        <w:tblLook w:val="0000" w:firstRow="0" w:lastRow="0" w:firstColumn="0" w:lastColumn="0" w:noHBand="0" w:noVBand="0"/>
      </w:tblPr>
      <w:tblGrid>
        <w:gridCol w:w="10080"/>
      </w:tblGrid>
      <w:tr w:rsidR="007C0B4B" w:rsidRPr="0027145C" w:rsidTr="00113117">
        <w:trPr>
          <w:trHeight w:val="365"/>
        </w:trPr>
        <w:tc>
          <w:tcPr>
            <w:tcW w:w="10080" w:type="dxa"/>
            <w:shd w:val="clear" w:color="auto" w:fill="CCCCCC"/>
            <w:vAlign w:val="center"/>
          </w:tcPr>
          <w:p w:rsidR="007C0B4B" w:rsidRPr="0027145C" w:rsidRDefault="007C0B4B" w:rsidP="00113117">
            <w:pPr>
              <w:ind w:firstLine="12"/>
              <w:jc w:val="center"/>
              <w:rPr>
                <w:rFonts w:eastAsia="Times New Roman"/>
                <w:sz w:val="22"/>
                <w:szCs w:val="22"/>
              </w:rPr>
            </w:pPr>
            <w:r w:rsidRPr="0027145C">
              <w:rPr>
                <w:rFonts w:eastAsia="Times New Roman"/>
                <w:b/>
                <w:caps/>
                <w:sz w:val="22"/>
                <w:szCs w:val="22"/>
              </w:rPr>
              <w:t>Согласие на обработку персональных данных</w:t>
            </w:r>
          </w:p>
        </w:tc>
      </w:tr>
    </w:tbl>
    <w:p w:rsidR="007C0B4B" w:rsidRPr="0027145C" w:rsidRDefault="007C0B4B" w:rsidP="007C0B4B">
      <w:pPr>
        <w:widowControl w:val="0"/>
        <w:overflowPunct w:val="0"/>
        <w:autoSpaceDE w:val="0"/>
        <w:autoSpaceDN w:val="0"/>
        <w:adjustRightInd w:val="0"/>
        <w:ind w:firstLine="360"/>
        <w:jc w:val="both"/>
        <w:textAlignment w:val="baseline"/>
        <w:rPr>
          <w:rFonts w:eastAsia="Times New Roman"/>
          <w:sz w:val="22"/>
          <w:szCs w:val="22"/>
        </w:rPr>
      </w:pPr>
    </w:p>
    <w:p w:rsidR="007C0B4B" w:rsidRPr="0027145C" w:rsidRDefault="007C0B4B" w:rsidP="007C0B4B">
      <w:pPr>
        <w:widowControl w:val="0"/>
        <w:overflowPunct w:val="0"/>
        <w:autoSpaceDE w:val="0"/>
        <w:autoSpaceDN w:val="0"/>
        <w:adjustRightInd w:val="0"/>
        <w:ind w:firstLine="360"/>
        <w:jc w:val="both"/>
        <w:textAlignment w:val="baseline"/>
        <w:rPr>
          <w:rFonts w:eastAsia="Times New Roman"/>
          <w:sz w:val="22"/>
          <w:szCs w:val="22"/>
          <w:vertAlign w:val="superscript"/>
        </w:rPr>
      </w:pPr>
      <w:r w:rsidRPr="0027145C">
        <w:rPr>
          <w:sz w:val="22"/>
          <w:szCs w:val="22"/>
        </w:rPr>
        <w:t xml:space="preserve">Настоящим </w:t>
      </w:r>
      <w:r w:rsidRPr="0027145C">
        <w:rPr>
          <w:i/>
          <w:sz w:val="22"/>
          <w:szCs w:val="22"/>
        </w:rPr>
        <w:t>указывается ФИО и вид, серия, номер документа, удостоверяющего личность представителя Клиента, орган, выдавший документ, дата и место выдачи, код подразделения (при наличии)</w:t>
      </w:r>
      <w:r w:rsidRPr="0027145C">
        <w:rPr>
          <w:sz w:val="22"/>
          <w:szCs w:val="22"/>
        </w:rPr>
        <w:t>, проживающий (-</w:t>
      </w:r>
      <w:proofErr w:type="spellStart"/>
      <w:r w:rsidRPr="0027145C">
        <w:rPr>
          <w:sz w:val="22"/>
          <w:szCs w:val="22"/>
        </w:rPr>
        <w:t>ая</w:t>
      </w:r>
      <w:proofErr w:type="spellEnd"/>
      <w:r w:rsidRPr="0027145C">
        <w:rPr>
          <w:sz w:val="22"/>
          <w:szCs w:val="22"/>
        </w:rPr>
        <w:t>) по адресу: __________________________________ (далее – «Представитель»),</w:t>
      </w:r>
      <w:r w:rsidRPr="0027145C">
        <w:rPr>
          <w:rFonts w:eastAsia="Times New Roman"/>
          <w:sz w:val="22"/>
          <w:szCs w:val="22"/>
        </w:rPr>
        <w:t xml:space="preserve"> действуя своей волей и в своем интересе, дает свое согласие на обработку (в том числе на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(включая трансграничную передачу), обезличивание, блокирование, удаление и уничтожение) своих персональных данных Акционерным обществом «</w:t>
      </w:r>
      <w:r w:rsidR="00C466BF">
        <w:rPr>
          <w:rFonts w:eastAsia="Times New Roman"/>
          <w:sz w:val="22"/>
          <w:szCs w:val="22"/>
        </w:rPr>
        <w:t>Банк</w:t>
      </w:r>
      <w:r w:rsidRPr="0027145C">
        <w:rPr>
          <w:rFonts w:eastAsia="Times New Roman"/>
          <w:sz w:val="22"/>
          <w:szCs w:val="22"/>
        </w:rPr>
        <w:t xml:space="preserve"> Русский Стандарт» (Российская Федерация, 105187, г. Москва, ул. Ткацкая, д. 36),</w:t>
      </w:r>
      <w:r w:rsidRPr="0027145C" w:rsidDel="00937190">
        <w:rPr>
          <w:rFonts w:eastAsia="Times New Roman"/>
          <w:sz w:val="22"/>
          <w:szCs w:val="22"/>
        </w:rPr>
        <w:t xml:space="preserve"> </w:t>
      </w:r>
      <w:r w:rsidRPr="0027145C">
        <w:rPr>
          <w:rFonts w:eastAsia="Times New Roman"/>
          <w:sz w:val="22"/>
          <w:szCs w:val="22"/>
        </w:rPr>
        <w:t>далее – «</w:t>
      </w:r>
      <w:r w:rsidR="00C466BF">
        <w:rPr>
          <w:rFonts w:eastAsia="Times New Roman"/>
          <w:sz w:val="22"/>
          <w:szCs w:val="22"/>
        </w:rPr>
        <w:t>Банк</w:t>
      </w:r>
      <w:r w:rsidRPr="0027145C">
        <w:rPr>
          <w:rFonts w:eastAsia="Times New Roman"/>
          <w:sz w:val="22"/>
          <w:szCs w:val="22"/>
        </w:rPr>
        <w:t>». Такое согласие дается:</w:t>
      </w:r>
      <w:r w:rsidRPr="0027145C">
        <w:rPr>
          <w:rFonts w:eastAsia="Times New Roman"/>
          <w:sz w:val="22"/>
          <w:szCs w:val="22"/>
          <w:vertAlign w:val="superscript"/>
        </w:rPr>
        <w:t xml:space="preserve"> </w:t>
      </w:r>
    </w:p>
    <w:p w:rsidR="007C0B4B" w:rsidRPr="0027145C" w:rsidRDefault="007C0B4B" w:rsidP="007C0B4B">
      <w:pPr>
        <w:widowControl w:val="0"/>
        <w:overflowPunct w:val="0"/>
        <w:autoSpaceDE w:val="0"/>
        <w:autoSpaceDN w:val="0"/>
        <w:adjustRightInd w:val="0"/>
        <w:ind w:firstLine="360"/>
        <w:jc w:val="both"/>
        <w:textAlignment w:val="baseline"/>
        <w:rPr>
          <w:rFonts w:eastAsia="Times New Roman"/>
          <w:sz w:val="22"/>
          <w:szCs w:val="22"/>
        </w:rPr>
      </w:pPr>
    </w:p>
    <w:p w:rsidR="007C0B4B" w:rsidRPr="0027145C" w:rsidRDefault="007C0B4B" w:rsidP="007C0B4B">
      <w:pPr>
        <w:widowControl w:val="0"/>
        <w:numPr>
          <w:ilvl w:val="0"/>
          <w:numId w:val="1"/>
        </w:numPr>
        <w:overflowPunct w:val="0"/>
        <w:autoSpaceDE w:val="0"/>
        <w:autoSpaceDN w:val="0"/>
        <w:adjustRightInd w:val="0"/>
        <w:jc w:val="both"/>
        <w:textAlignment w:val="baseline"/>
        <w:rPr>
          <w:rFonts w:eastAsia="Times New Roman"/>
          <w:sz w:val="22"/>
          <w:szCs w:val="22"/>
        </w:rPr>
      </w:pPr>
      <w:r w:rsidRPr="0027145C">
        <w:rPr>
          <w:rFonts w:eastAsia="Times New Roman"/>
          <w:sz w:val="22"/>
          <w:szCs w:val="22"/>
        </w:rPr>
        <w:t xml:space="preserve">в отношении любой информации, относящейся к Представителю, полученной как от него самого, так и от </w:t>
      </w:r>
      <w:r w:rsidRPr="0027145C">
        <w:rPr>
          <w:rFonts w:eastAsia="Times New Roman"/>
          <w:i/>
          <w:sz w:val="22"/>
          <w:szCs w:val="22"/>
        </w:rPr>
        <w:t xml:space="preserve">указывается ФИО, вид, серия, номер документа, удостоверяющего личность Клиента- физического лица, орган, выдавший документ, дата и место выдачи, код подразделения (при наличии), и адрес места жительства Клиента-физического лица или полное наименование, регистрационный номер/ОГРН и адрес места государственной регистрации Клиента-юридического лица </w:t>
      </w:r>
      <w:r w:rsidRPr="0027145C">
        <w:rPr>
          <w:rFonts w:eastAsia="Times New Roman"/>
          <w:sz w:val="22"/>
          <w:szCs w:val="22"/>
        </w:rPr>
        <w:t>(далее – «Клиент») или других третьих лиц, включая: фамилию, имя, отчество, данные документа, удостоверяющего личность, гражданство, дату и место рождения, ИНН, адрес места жительства, семейное, социальное, имущественное положение, образование, профессию, доходы;</w:t>
      </w:r>
    </w:p>
    <w:p w:rsidR="007C0B4B" w:rsidRPr="0027145C" w:rsidRDefault="007C0B4B" w:rsidP="007C0B4B">
      <w:pPr>
        <w:widowControl w:val="0"/>
        <w:numPr>
          <w:ilvl w:val="0"/>
          <w:numId w:val="1"/>
        </w:numPr>
        <w:overflowPunct w:val="0"/>
        <w:autoSpaceDE w:val="0"/>
        <w:autoSpaceDN w:val="0"/>
        <w:adjustRightInd w:val="0"/>
        <w:jc w:val="both"/>
        <w:textAlignment w:val="baseline"/>
        <w:rPr>
          <w:rFonts w:eastAsia="Times New Roman"/>
          <w:sz w:val="22"/>
          <w:szCs w:val="22"/>
        </w:rPr>
      </w:pPr>
      <w:r w:rsidRPr="0027145C">
        <w:rPr>
          <w:rFonts w:eastAsia="Times New Roman"/>
          <w:sz w:val="22"/>
          <w:szCs w:val="22"/>
        </w:rPr>
        <w:t xml:space="preserve">для целей продвижения на рынке с помощью средств связи, включая почтовые отправления, телефонную связь, электронные средства связи, в том числе SMS-сообщения, факсимильную связь, электронную почту и другие средства связи) продуктов (услуг) </w:t>
      </w:r>
      <w:r w:rsidR="006F14F2">
        <w:rPr>
          <w:rFonts w:eastAsia="Times New Roman"/>
          <w:sz w:val="22"/>
          <w:szCs w:val="22"/>
        </w:rPr>
        <w:t>Брокера</w:t>
      </w:r>
      <w:r w:rsidRPr="0027145C">
        <w:rPr>
          <w:rFonts w:eastAsia="Times New Roman"/>
          <w:sz w:val="22"/>
          <w:szCs w:val="22"/>
        </w:rPr>
        <w:t xml:space="preserve">, совместных продуктов </w:t>
      </w:r>
      <w:r w:rsidR="006F14F2">
        <w:rPr>
          <w:rFonts w:eastAsia="Times New Roman"/>
          <w:sz w:val="22"/>
          <w:szCs w:val="22"/>
        </w:rPr>
        <w:t>Брокера</w:t>
      </w:r>
      <w:r w:rsidRPr="0027145C">
        <w:rPr>
          <w:rFonts w:eastAsia="Times New Roman"/>
          <w:sz w:val="22"/>
          <w:szCs w:val="22"/>
        </w:rPr>
        <w:t xml:space="preserve"> и третьих лиц, продуктов (товаров, работ, услуг) третьих лиц, а также в целях распространения рекламы о продуктах (товарах, работах, услугах) указанных лиц;</w:t>
      </w:r>
    </w:p>
    <w:p w:rsidR="007C0B4B" w:rsidRPr="0027145C" w:rsidRDefault="007C0B4B" w:rsidP="007C0B4B">
      <w:pPr>
        <w:widowControl w:val="0"/>
        <w:numPr>
          <w:ilvl w:val="0"/>
          <w:numId w:val="1"/>
        </w:numPr>
        <w:overflowPunct w:val="0"/>
        <w:autoSpaceDE w:val="0"/>
        <w:autoSpaceDN w:val="0"/>
        <w:adjustRightInd w:val="0"/>
        <w:jc w:val="both"/>
        <w:textAlignment w:val="baseline"/>
        <w:rPr>
          <w:rFonts w:eastAsia="Times New Roman"/>
          <w:sz w:val="22"/>
          <w:szCs w:val="22"/>
        </w:rPr>
      </w:pPr>
      <w:r w:rsidRPr="0027145C">
        <w:rPr>
          <w:rFonts w:eastAsia="Times New Roman"/>
          <w:sz w:val="22"/>
          <w:szCs w:val="22"/>
        </w:rPr>
        <w:t xml:space="preserve">для целей оказания </w:t>
      </w:r>
      <w:r w:rsidR="006F14F2">
        <w:rPr>
          <w:rFonts w:eastAsia="Times New Roman"/>
          <w:sz w:val="22"/>
          <w:szCs w:val="22"/>
        </w:rPr>
        <w:t>Брокером</w:t>
      </w:r>
      <w:r w:rsidRPr="0027145C">
        <w:rPr>
          <w:rFonts w:eastAsia="Times New Roman"/>
          <w:sz w:val="22"/>
          <w:szCs w:val="22"/>
        </w:rPr>
        <w:t xml:space="preserve"> услуг по Договору о брокерском обслуживании на рынке ценных бумаг № __________ от ______________г., заключенному между </w:t>
      </w:r>
      <w:r w:rsidR="00957E81">
        <w:rPr>
          <w:rFonts w:eastAsia="Times New Roman"/>
          <w:sz w:val="22"/>
          <w:szCs w:val="22"/>
        </w:rPr>
        <w:t>Брокером</w:t>
      </w:r>
      <w:r w:rsidRPr="0027145C">
        <w:rPr>
          <w:rFonts w:eastAsia="Times New Roman"/>
          <w:sz w:val="22"/>
          <w:szCs w:val="22"/>
        </w:rPr>
        <w:t xml:space="preserve"> и Клиентом (далее – «Договор»); </w:t>
      </w:r>
    </w:p>
    <w:p w:rsidR="007C0B4B" w:rsidRPr="00B00C19" w:rsidRDefault="00B00C19" w:rsidP="007C0B4B">
      <w:pPr>
        <w:widowControl w:val="0"/>
        <w:numPr>
          <w:ilvl w:val="0"/>
          <w:numId w:val="1"/>
        </w:numPr>
        <w:overflowPunct w:val="0"/>
        <w:autoSpaceDE w:val="0"/>
        <w:autoSpaceDN w:val="0"/>
        <w:adjustRightInd w:val="0"/>
        <w:jc w:val="both"/>
        <w:textAlignment w:val="baseline"/>
        <w:rPr>
          <w:rFonts w:eastAsia="Times New Roman"/>
          <w:sz w:val="22"/>
          <w:szCs w:val="22"/>
        </w:rPr>
      </w:pPr>
      <w:r w:rsidRPr="00B00C19">
        <w:rPr>
          <w:rFonts w:eastAsia="Times New Roman"/>
          <w:sz w:val="22"/>
          <w:szCs w:val="22"/>
        </w:rPr>
        <w:t>до прекращения действия Договора, а также в течение следующих 5 (</w:t>
      </w:r>
      <w:r w:rsidR="00486F80">
        <w:rPr>
          <w:rFonts w:eastAsia="Times New Roman"/>
          <w:sz w:val="22"/>
          <w:szCs w:val="22"/>
        </w:rPr>
        <w:t>П</w:t>
      </w:r>
      <w:r w:rsidRPr="00B00C19">
        <w:rPr>
          <w:rFonts w:eastAsia="Times New Roman"/>
          <w:sz w:val="22"/>
          <w:szCs w:val="22"/>
        </w:rPr>
        <w:t>яти) лет</w:t>
      </w:r>
      <w:r w:rsidR="007C0B4B" w:rsidRPr="00B00C19">
        <w:rPr>
          <w:rFonts w:eastAsia="Times New Roman"/>
          <w:sz w:val="22"/>
          <w:szCs w:val="22"/>
        </w:rPr>
        <w:t xml:space="preserve">; </w:t>
      </w:r>
    </w:p>
    <w:p w:rsidR="007C0B4B" w:rsidRPr="0027145C" w:rsidRDefault="007C0B4B" w:rsidP="007C0B4B">
      <w:pPr>
        <w:widowControl w:val="0"/>
        <w:numPr>
          <w:ilvl w:val="0"/>
          <w:numId w:val="1"/>
        </w:numPr>
        <w:overflowPunct w:val="0"/>
        <w:autoSpaceDE w:val="0"/>
        <w:autoSpaceDN w:val="0"/>
        <w:adjustRightInd w:val="0"/>
        <w:jc w:val="both"/>
        <w:textAlignment w:val="baseline"/>
        <w:rPr>
          <w:rFonts w:eastAsia="Times New Roman"/>
          <w:sz w:val="22"/>
          <w:szCs w:val="22"/>
        </w:rPr>
      </w:pPr>
      <w:r w:rsidRPr="0027145C">
        <w:rPr>
          <w:rFonts w:eastAsia="Times New Roman"/>
          <w:sz w:val="22"/>
          <w:szCs w:val="22"/>
        </w:rPr>
        <w:t>на обработку персональных данных любым способом, в том числе как с использованием средств автоматизации (включая программное обеспечение), так и без использования средств автоматизации (с использованием различных материальных носителей, включая бумажные носители), а также путем смешанной обработки;</w:t>
      </w:r>
    </w:p>
    <w:p w:rsidR="007C0B4B" w:rsidRPr="0027145C" w:rsidRDefault="007C0B4B" w:rsidP="007C0B4B">
      <w:pPr>
        <w:widowControl w:val="0"/>
        <w:numPr>
          <w:ilvl w:val="0"/>
          <w:numId w:val="1"/>
        </w:numPr>
        <w:overflowPunct w:val="0"/>
        <w:autoSpaceDE w:val="0"/>
        <w:autoSpaceDN w:val="0"/>
        <w:adjustRightInd w:val="0"/>
        <w:jc w:val="both"/>
        <w:textAlignment w:val="baseline"/>
        <w:rPr>
          <w:rFonts w:eastAsia="Times New Roman"/>
          <w:sz w:val="22"/>
          <w:szCs w:val="22"/>
        </w:rPr>
      </w:pPr>
      <w:r w:rsidRPr="0027145C">
        <w:rPr>
          <w:rFonts w:eastAsia="Times New Roman"/>
          <w:sz w:val="22"/>
          <w:szCs w:val="22"/>
        </w:rPr>
        <w:t xml:space="preserve">как </w:t>
      </w:r>
      <w:r w:rsidR="006F14F2">
        <w:rPr>
          <w:rFonts w:eastAsia="Times New Roman"/>
          <w:sz w:val="22"/>
          <w:szCs w:val="22"/>
        </w:rPr>
        <w:t>Брокеру</w:t>
      </w:r>
      <w:r w:rsidRPr="0027145C">
        <w:rPr>
          <w:rFonts w:eastAsia="Times New Roman"/>
          <w:sz w:val="22"/>
          <w:szCs w:val="22"/>
        </w:rPr>
        <w:t xml:space="preserve">, так и любым третьим лицам, которые в результате обработки персональных данных Представителя, уступки, продажи, передачи в залог или обременения иным образом полностью или частично прав (требований) по Договору получили персональные данные Представителя, стали правообладателями (в качестве цессионария, покупателя, залогодержателя или бенефициара обременения) в отношении указанных прав, а также агентам и уполномоченным лицам </w:t>
      </w:r>
      <w:r w:rsidR="006F14F2">
        <w:rPr>
          <w:rFonts w:eastAsia="Times New Roman"/>
          <w:sz w:val="22"/>
          <w:szCs w:val="22"/>
        </w:rPr>
        <w:t>Брокера</w:t>
      </w:r>
      <w:r w:rsidRPr="0027145C">
        <w:rPr>
          <w:rFonts w:eastAsia="Times New Roman"/>
          <w:sz w:val="22"/>
          <w:szCs w:val="22"/>
        </w:rPr>
        <w:t xml:space="preserve"> и указанных третьих лиц.</w:t>
      </w:r>
    </w:p>
    <w:p w:rsidR="007C0B4B" w:rsidRPr="0027145C" w:rsidRDefault="007C0B4B" w:rsidP="007C0B4B">
      <w:pPr>
        <w:widowControl w:val="0"/>
        <w:overflowPunct w:val="0"/>
        <w:autoSpaceDE w:val="0"/>
        <w:autoSpaceDN w:val="0"/>
        <w:adjustRightInd w:val="0"/>
        <w:ind w:firstLine="360"/>
        <w:jc w:val="both"/>
        <w:textAlignment w:val="baseline"/>
        <w:rPr>
          <w:rFonts w:eastAsia="Times New Roman"/>
          <w:sz w:val="22"/>
          <w:szCs w:val="22"/>
        </w:rPr>
      </w:pPr>
    </w:p>
    <w:p w:rsidR="004A6FE3" w:rsidRDefault="006F14F2" w:rsidP="007C0B4B">
      <w:pPr>
        <w:widowControl w:val="0"/>
        <w:overflowPunct w:val="0"/>
        <w:autoSpaceDE w:val="0"/>
        <w:autoSpaceDN w:val="0"/>
        <w:adjustRightInd w:val="0"/>
        <w:ind w:firstLine="360"/>
        <w:jc w:val="both"/>
        <w:textAlignment w:val="baseline"/>
        <w:rPr>
          <w:rFonts w:eastAsia="Times New Roman"/>
          <w:sz w:val="22"/>
          <w:szCs w:val="22"/>
        </w:rPr>
      </w:pPr>
      <w:r>
        <w:rPr>
          <w:rFonts w:eastAsia="Times New Roman"/>
          <w:sz w:val="22"/>
          <w:szCs w:val="22"/>
        </w:rPr>
        <w:t>Брокер</w:t>
      </w:r>
      <w:r w:rsidR="007C0B4B" w:rsidRPr="0027145C">
        <w:rPr>
          <w:rFonts w:eastAsia="Times New Roman"/>
          <w:sz w:val="22"/>
          <w:szCs w:val="22"/>
        </w:rPr>
        <w:t xml:space="preserve"> вправе осуществлять обработку персональных данных Представителя в течение всего срока действия согласия Представителя на их обработку. Если иное не установлено федеральным законом, согласие может быть отозвано путем направления письменного заявления об этом в адрес </w:t>
      </w:r>
      <w:r>
        <w:rPr>
          <w:rFonts w:eastAsia="Times New Roman"/>
          <w:sz w:val="22"/>
          <w:szCs w:val="22"/>
        </w:rPr>
        <w:t>Брокера</w:t>
      </w:r>
      <w:r w:rsidR="007C0B4B" w:rsidRPr="0027145C">
        <w:rPr>
          <w:rFonts w:eastAsia="Times New Roman"/>
          <w:sz w:val="22"/>
          <w:szCs w:val="22"/>
        </w:rPr>
        <w:t xml:space="preserve"> с указанием целей обработки </w:t>
      </w:r>
      <w:r>
        <w:rPr>
          <w:rFonts w:eastAsia="Times New Roman"/>
          <w:sz w:val="22"/>
          <w:szCs w:val="22"/>
        </w:rPr>
        <w:t>Брокером</w:t>
      </w:r>
      <w:r w:rsidR="007C0B4B" w:rsidRPr="0027145C">
        <w:rPr>
          <w:rFonts w:eastAsia="Times New Roman"/>
          <w:sz w:val="22"/>
          <w:szCs w:val="22"/>
        </w:rPr>
        <w:t xml:space="preserve"> персональных данных, в отношении которых делается такой отзыв.</w:t>
      </w:r>
      <w:r w:rsidR="004A6FE3">
        <w:rPr>
          <w:rFonts w:eastAsia="Times New Roman"/>
          <w:sz w:val="22"/>
          <w:szCs w:val="22"/>
        </w:rPr>
        <w:t xml:space="preserve"> </w:t>
      </w:r>
    </w:p>
    <w:p w:rsidR="007C0B4B" w:rsidRPr="0027145C" w:rsidRDefault="007C0B4B" w:rsidP="007C0B4B">
      <w:pPr>
        <w:widowControl w:val="0"/>
        <w:overflowPunct w:val="0"/>
        <w:autoSpaceDE w:val="0"/>
        <w:autoSpaceDN w:val="0"/>
        <w:adjustRightInd w:val="0"/>
        <w:ind w:firstLine="360"/>
        <w:jc w:val="both"/>
        <w:textAlignment w:val="baseline"/>
        <w:rPr>
          <w:rFonts w:eastAsia="Times New Roman"/>
          <w:sz w:val="22"/>
          <w:szCs w:val="22"/>
        </w:rPr>
      </w:pPr>
      <w:r w:rsidRPr="0027145C">
        <w:rPr>
          <w:rFonts w:eastAsia="Times New Roman"/>
          <w:sz w:val="22"/>
          <w:szCs w:val="22"/>
        </w:rPr>
        <w:t xml:space="preserve">   </w:t>
      </w:r>
    </w:p>
    <w:p w:rsidR="007C0B4B" w:rsidRPr="0027145C" w:rsidRDefault="007C0B4B" w:rsidP="007C0B4B">
      <w:pPr>
        <w:ind w:firstLine="600"/>
        <w:jc w:val="both"/>
        <w:rPr>
          <w:rFonts w:eastAsia="Times New Roman"/>
          <w:sz w:val="22"/>
          <w:szCs w:val="22"/>
        </w:rPr>
      </w:pPr>
    </w:p>
    <w:p w:rsidR="007C0B4B" w:rsidRPr="0027145C" w:rsidRDefault="007C0B4B" w:rsidP="007C0B4B">
      <w:pPr>
        <w:jc w:val="both"/>
        <w:rPr>
          <w:rFonts w:eastAsia="Times New Roman"/>
          <w:sz w:val="22"/>
          <w:szCs w:val="22"/>
        </w:rPr>
      </w:pPr>
      <w:r w:rsidRPr="0027145C">
        <w:rPr>
          <w:rFonts w:eastAsia="Times New Roman"/>
          <w:sz w:val="22"/>
          <w:szCs w:val="22"/>
        </w:rPr>
        <w:t>________________________/_____________________/</w:t>
      </w:r>
    </w:p>
    <w:p w:rsidR="00892284" w:rsidRDefault="007C0B4B" w:rsidP="00AC29F7">
      <w:pPr>
        <w:jc w:val="both"/>
        <w:rPr>
          <w:lang w:val="en-US"/>
        </w:rPr>
      </w:pPr>
      <w:r w:rsidRPr="0027145C">
        <w:rPr>
          <w:rFonts w:eastAsia="Times New Roman"/>
          <w:sz w:val="22"/>
          <w:szCs w:val="22"/>
        </w:rPr>
        <w:tab/>
      </w:r>
      <w:r w:rsidRPr="0027145C">
        <w:rPr>
          <w:rFonts w:eastAsia="Times New Roman"/>
          <w:sz w:val="18"/>
          <w:szCs w:val="18"/>
        </w:rPr>
        <w:t>(подпись)</w:t>
      </w:r>
      <w:r w:rsidRPr="0027145C">
        <w:rPr>
          <w:rFonts w:eastAsia="Times New Roman"/>
          <w:sz w:val="18"/>
          <w:szCs w:val="18"/>
        </w:rPr>
        <w:tab/>
      </w:r>
      <w:r w:rsidRPr="0027145C">
        <w:rPr>
          <w:rFonts w:eastAsia="Times New Roman"/>
          <w:sz w:val="18"/>
          <w:szCs w:val="18"/>
        </w:rPr>
        <w:tab/>
      </w:r>
      <w:r w:rsidRPr="0027145C">
        <w:rPr>
          <w:rFonts w:eastAsia="Times New Roman"/>
          <w:sz w:val="18"/>
          <w:szCs w:val="18"/>
        </w:rPr>
        <w:tab/>
        <w:t>(расшифровка)</w:t>
      </w:r>
    </w:p>
    <w:sectPr w:rsidR="008922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845F8"/>
    <w:multiLevelType w:val="multilevel"/>
    <w:tmpl w:val="66567FAA"/>
    <w:lvl w:ilvl="0">
      <w:start w:val="13"/>
      <w:numFmt w:val="decimal"/>
      <w:lvlText w:val="%1."/>
      <w:lvlJc w:val="left"/>
      <w:pPr>
        <w:ind w:left="480" w:hanging="480"/>
      </w:pPr>
      <w:rPr>
        <w:rFonts w:hint="default"/>
        <w:b/>
      </w:rPr>
    </w:lvl>
    <w:lvl w:ilvl="1">
      <w:start w:val="1"/>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 w15:restartNumberingAfterBreak="0">
    <w:nsid w:val="519C1DEE"/>
    <w:multiLevelType w:val="multilevel"/>
    <w:tmpl w:val="FE8A9A98"/>
    <w:lvl w:ilvl="0">
      <w:start w:val="4"/>
      <w:numFmt w:val="decimal"/>
      <w:lvlText w:val="%1."/>
      <w:lvlJc w:val="left"/>
      <w:pPr>
        <w:ind w:left="1494" w:hanging="360"/>
      </w:pPr>
      <w:rPr>
        <w:rFonts w:hint="default"/>
        <w:b/>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9E17EA9"/>
    <w:multiLevelType w:val="multilevel"/>
    <w:tmpl w:val="6B8EAF9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B38"/>
    <w:rsid w:val="000A51F7"/>
    <w:rsid w:val="000D5B61"/>
    <w:rsid w:val="00174B38"/>
    <w:rsid w:val="003C507E"/>
    <w:rsid w:val="004632F1"/>
    <w:rsid w:val="00486F80"/>
    <w:rsid w:val="004A6FE3"/>
    <w:rsid w:val="004D4B2B"/>
    <w:rsid w:val="005541E2"/>
    <w:rsid w:val="006E455A"/>
    <w:rsid w:val="006F14F2"/>
    <w:rsid w:val="007C0B4B"/>
    <w:rsid w:val="00892284"/>
    <w:rsid w:val="00957E81"/>
    <w:rsid w:val="009D7F93"/>
    <w:rsid w:val="00A32BF5"/>
    <w:rsid w:val="00AC29F7"/>
    <w:rsid w:val="00B00C19"/>
    <w:rsid w:val="00C0085C"/>
    <w:rsid w:val="00C466BF"/>
    <w:rsid w:val="00E16CC4"/>
    <w:rsid w:val="00F10CC0"/>
    <w:rsid w:val="00F93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593100-6229-4879-8E17-A4300CD0C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0B4B"/>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A32BF5"/>
    <w:pPr>
      <w:widowControl w:val="0"/>
      <w:autoSpaceDE w:val="0"/>
      <w:autoSpaceDN w:val="0"/>
      <w:adjustRightInd w:val="0"/>
      <w:spacing w:line="353" w:lineRule="exact"/>
    </w:pPr>
    <w:rPr>
      <w:rFonts w:ascii="Garamond" w:eastAsia="Times New Roman" w:hAnsi="Garamond"/>
      <w:sz w:val="24"/>
      <w:szCs w:val="24"/>
    </w:rPr>
  </w:style>
  <w:style w:type="character" w:customStyle="1" w:styleId="FontStyle20">
    <w:name w:val="Font Style20"/>
    <w:rsid w:val="00A32BF5"/>
    <w:rPr>
      <w:rFonts w:ascii="Garamond" w:hAnsi="Garamond" w:cs="Garamond"/>
      <w:sz w:val="16"/>
      <w:szCs w:val="16"/>
    </w:rPr>
  </w:style>
  <w:style w:type="paragraph" w:customStyle="1" w:styleId="TimesNewRoman11">
    <w:name w:val="Текст Times New Roman 11 шрифт"/>
    <w:basedOn w:val="a"/>
    <w:link w:val="TimesNewRoman110"/>
    <w:qFormat/>
    <w:rsid w:val="004A6FE3"/>
    <w:pPr>
      <w:jc w:val="right"/>
    </w:pPr>
    <w:rPr>
      <w:sz w:val="22"/>
      <w:szCs w:val="22"/>
    </w:rPr>
  </w:style>
  <w:style w:type="character" w:customStyle="1" w:styleId="TimesNewRoman110">
    <w:name w:val="Текст Times New Roman 11 шрифт Знак"/>
    <w:basedOn w:val="a0"/>
    <w:link w:val="TimesNewRoman11"/>
    <w:rsid w:val="004A6FE3"/>
    <w:rPr>
      <w:rFonts w:ascii="Times New Roman" w:eastAsia="Calibri"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17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540</Words>
  <Characters>3078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Russian Standard Bank</Company>
  <LinksUpToDate>false</LinksUpToDate>
  <CharactersWithSpaces>3611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А.М.</dc:creator>
  <cp:keywords/>
  <dc:description/>
  <cp:lastModifiedBy>Черных В.В.</cp:lastModifiedBy>
  <cp:revision>21</cp:revision>
  <dcterms:created xsi:type="dcterms:W3CDTF">2017-03-01T09:19:00Z</dcterms:created>
  <dcterms:modified xsi:type="dcterms:W3CDTF">2021-05-11T14:16:00Z</dcterms:modified>
</cp:coreProperties>
</file>